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宋体"/>
          <w:b/>
          <w:bCs/>
          <w:color w:val="000000"/>
          <w:sz w:val="36"/>
          <w:szCs w:val="36"/>
        </w:rPr>
      </w:pPr>
      <w:r>
        <w:rPr>
          <w:rFonts w:hint="eastAsia" w:ascii="方正小标宋简体" w:hAnsi="宋体" w:eastAsia="方正小标宋简体" w:cs="宋体"/>
          <w:bCs/>
          <w:color w:val="000000"/>
          <w:spacing w:val="-20"/>
          <w:sz w:val="44"/>
          <w:szCs w:val="44"/>
        </w:rPr>
        <w:t>英山县委常委下基层察民情解民忧暖民心实践活动效果清单</w:t>
      </w:r>
    </w:p>
    <w:p>
      <w:pPr>
        <w:spacing w:before="161" w:beforeLines="50" w:line="360" w:lineRule="exact"/>
        <w:jc w:val="right"/>
        <w:rPr>
          <w:rFonts w:hint="eastAsia" w:ascii="Times New Roman" w:hAnsi="Times New Roman" w:eastAsia="楷体_GB2312"/>
          <w:color w:val="000000"/>
          <w:sz w:val="28"/>
          <w:szCs w:val="28"/>
        </w:rPr>
      </w:pPr>
      <w:r>
        <w:rPr>
          <w:rFonts w:hint="eastAsia" w:ascii="Times New Roman" w:hAnsi="Times New Roman" w:eastAsia="楷体_GB2312"/>
          <w:color w:val="000000"/>
          <w:sz w:val="32"/>
          <w:szCs w:val="32"/>
        </w:rPr>
        <w:t xml:space="preserve">                </w:t>
      </w:r>
      <w:r>
        <w:rPr>
          <w:rFonts w:ascii="Times New Roman" w:hAnsi="Times New Roman" w:eastAsia="楷体_GB2312"/>
          <w:color w:val="000000"/>
          <w:sz w:val="28"/>
          <w:szCs w:val="28"/>
        </w:rPr>
        <w:t>统计时间：</w:t>
      </w:r>
      <w:r>
        <w:rPr>
          <w:rFonts w:hint="eastAsia" w:ascii="Times New Roman" w:hAnsi="Times New Roman" w:eastAsia="楷体_GB2312"/>
          <w:color w:val="000000"/>
          <w:sz w:val="28"/>
          <w:szCs w:val="28"/>
        </w:rPr>
        <w:t>202</w:t>
      </w:r>
      <w:r>
        <w:rPr>
          <w:rFonts w:hint="eastAsia" w:ascii="Times New Roman" w:hAnsi="Times New Roman" w:eastAsia="楷体_GB2312"/>
          <w:color w:val="000000"/>
          <w:sz w:val="28"/>
          <w:szCs w:val="28"/>
          <w:lang w:val="en-US" w:eastAsia="zh-CN"/>
        </w:rPr>
        <w:t>3</w:t>
      </w:r>
      <w:r>
        <w:rPr>
          <w:rFonts w:hint="eastAsia" w:ascii="Times New Roman" w:hAnsi="Times New Roman" w:eastAsia="楷体_GB2312"/>
          <w:color w:val="000000"/>
          <w:sz w:val="28"/>
          <w:szCs w:val="28"/>
        </w:rPr>
        <w:t>年</w:t>
      </w:r>
      <w:r>
        <w:rPr>
          <w:rFonts w:hint="eastAsia" w:ascii="Times New Roman" w:hAnsi="Times New Roman" w:eastAsia="楷体_GB2312"/>
          <w:color w:val="000000"/>
          <w:sz w:val="28"/>
          <w:szCs w:val="28"/>
          <w:lang w:val="en-US" w:eastAsia="zh-CN"/>
        </w:rPr>
        <w:t xml:space="preserve"> 5 </w:t>
      </w:r>
      <w:r>
        <w:rPr>
          <w:rFonts w:hint="eastAsia" w:ascii="Times New Roman" w:hAnsi="Times New Roman" w:eastAsia="楷体_GB2312"/>
          <w:color w:val="000000"/>
          <w:sz w:val="28"/>
          <w:szCs w:val="28"/>
        </w:rPr>
        <w:t>月</w:t>
      </w:r>
      <w:r>
        <w:rPr>
          <w:rFonts w:hint="eastAsia" w:ascii="Times New Roman" w:hAnsi="Times New Roman" w:eastAsia="楷体_GB2312"/>
          <w:color w:val="000000"/>
          <w:sz w:val="28"/>
          <w:szCs w:val="28"/>
          <w:lang w:val="en-US" w:eastAsia="zh-CN"/>
        </w:rPr>
        <w:t xml:space="preserve"> 31</w:t>
      </w:r>
      <w:bookmarkStart w:id="0" w:name="_GoBack"/>
      <w:bookmarkEnd w:id="0"/>
      <w:r>
        <w:rPr>
          <w:rFonts w:hint="eastAsia" w:ascii="Times New Roman" w:hAnsi="Times New Roman" w:eastAsia="楷体_GB2312"/>
          <w:color w:val="000000"/>
          <w:sz w:val="28"/>
          <w:szCs w:val="28"/>
          <w:lang w:val="en-US" w:eastAsia="zh-CN"/>
        </w:rPr>
        <w:t xml:space="preserve"> </w:t>
      </w:r>
      <w:r>
        <w:rPr>
          <w:rFonts w:hint="eastAsia" w:ascii="Times New Roman" w:hAnsi="Times New Roman" w:eastAsia="楷体_GB2312"/>
          <w:color w:val="000000"/>
          <w:sz w:val="28"/>
          <w:szCs w:val="28"/>
        </w:rPr>
        <w:t>日</w:t>
      </w:r>
    </w:p>
    <w:tbl>
      <w:tblPr>
        <w:tblStyle w:val="5"/>
        <w:tblW w:w="14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1216"/>
        <w:gridCol w:w="861"/>
        <w:gridCol w:w="1584"/>
        <w:gridCol w:w="6576"/>
        <w:gridCol w:w="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756" w:type="dxa"/>
            <w:noWrap w:val="0"/>
            <w:vAlign w:val="center"/>
          </w:tcPr>
          <w:p>
            <w:pPr>
              <w:spacing w:line="240" w:lineRule="exact"/>
              <w:jc w:val="center"/>
              <w:rPr>
                <w:rFonts w:hint="eastAsia" w:ascii="Times New Roman" w:hAnsi="Times New Roman" w:eastAsia="黑体"/>
                <w:bCs/>
                <w:color w:val="000000"/>
                <w:szCs w:val="21"/>
              </w:rPr>
            </w:pPr>
            <w:r>
              <w:rPr>
                <w:rFonts w:ascii="Times New Roman" w:hAnsi="Times New Roman" w:eastAsia="黑体"/>
                <w:bCs/>
                <w:color w:val="000000"/>
                <w:szCs w:val="21"/>
              </w:rPr>
              <w:t>序</w:t>
            </w:r>
          </w:p>
          <w:p>
            <w:pPr>
              <w:spacing w:line="240" w:lineRule="exact"/>
              <w:jc w:val="center"/>
              <w:rPr>
                <w:rFonts w:ascii="Times New Roman" w:hAnsi="Times New Roman" w:eastAsia="黑体"/>
                <w:bCs/>
                <w:color w:val="000000"/>
                <w:szCs w:val="21"/>
              </w:rPr>
            </w:pPr>
            <w:r>
              <w:rPr>
                <w:rFonts w:ascii="Times New Roman" w:hAnsi="Times New Roman" w:eastAsia="黑体"/>
                <w:bCs/>
                <w:color w:val="000000"/>
                <w:szCs w:val="21"/>
              </w:rPr>
              <w:t>号</w:t>
            </w:r>
          </w:p>
        </w:tc>
        <w:tc>
          <w:tcPr>
            <w:tcW w:w="2618" w:type="dxa"/>
            <w:noWrap w:val="0"/>
            <w:vAlign w:val="center"/>
          </w:tcPr>
          <w:p>
            <w:pPr>
              <w:spacing w:line="240" w:lineRule="exact"/>
              <w:jc w:val="center"/>
              <w:rPr>
                <w:rFonts w:ascii="Times New Roman" w:hAnsi="Times New Roman" w:eastAsia="黑体"/>
                <w:bCs/>
                <w:color w:val="000000"/>
                <w:szCs w:val="21"/>
              </w:rPr>
            </w:pPr>
            <w:r>
              <w:rPr>
                <w:rFonts w:ascii="Times New Roman" w:hAnsi="Times New Roman" w:eastAsia="黑体"/>
                <w:bCs/>
                <w:color w:val="000000"/>
                <w:szCs w:val="21"/>
              </w:rPr>
              <w:t>问题</w:t>
            </w:r>
            <w:r>
              <w:rPr>
                <w:rFonts w:hint="eastAsia" w:ascii="Times New Roman" w:hAnsi="Times New Roman" w:eastAsia="黑体"/>
                <w:bCs/>
                <w:color w:val="000000"/>
                <w:szCs w:val="21"/>
              </w:rPr>
              <w:t>基本情况</w:t>
            </w:r>
          </w:p>
        </w:tc>
        <w:tc>
          <w:tcPr>
            <w:tcW w:w="1216" w:type="dxa"/>
            <w:noWrap w:val="0"/>
            <w:vAlign w:val="center"/>
          </w:tcPr>
          <w:p>
            <w:pPr>
              <w:spacing w:line="240" w:lineRule="exact"/>
              <w:jc w:val="center"/>
              <w:rPr>
                <w:rFonts w:hint="eastAsia" w:ascii="Times New Roman" w:hAnsi="Times New Roman" w:eastAsia="黑体"/>
                <w:bCs/>
                <w:color w:val="000000"/>
                <w:szCs w:val="21"/>
              </w:rPr>
            </w:pPr>
            <w:r>
              <w:rPr>
                <w:rFonts w:hint="eastAsia" w:ascii="Times New Roman" w:hAnsi="Times New Roman" w:eastAsia="黑体"/>
                <w:bCs/>
                <w:color w:val="000000"/>
                <w:szCs w:val="21"/>
              </w:rPr>
              <w:t>问题</w:t>
            </w:r>
          </w:p>
          <w:p>
            <w:pPr>
              <w:spacing w:line="240" w:lineRule="exact"/>
              <w:jc w:val="center"/>
              <w:rPr>
                <w:rFonts w:hint="eastAsia" w:ascii="Times New Roman" w:hAnsi="Times New Roman" w:eastAsia="黑体"/>
                <w:bCs/>
                <w:color w:val="000000"/>
                <w:szCs w:val="21"/>
              </w:rPr>
            </w:pPr>
            <w:r>
              <w:rPr>
                <w:rFonts w:hint="eastAsia" w:ascii="Times New Roman" w:hAnsi="Times New Roman" w:eastAsia="黑体"/>
                <w:bCs/>
                <w:color w:val="000000"/>
                <w:szCs w:val="21"/>
              </w:rPr>
              <w:t>类别</w:t>
            </w:r>
          </w:p>
        </w:tc>
        <w:tc>
          <w:tcPr>
            <w:tcW w:w="861" w:type="dxa"/>
            <w:noWrap w:val="0"/>
            <w:vAlign w:val="center"/>
          </w:tcPr>
          <w:p>
            <w:pPr>
              <w:spacing w:line="240" w:lineRule="exact"/>
              <w:jc w:val="center"/>
              <w:rPr>
                <w:rFonts w:hint="eastAsia" w:ascii="Times New Roman" w:hAnsi="Times New Roman" w:eastAsia="黑体"/>
                <w:bCs/>
                <w:color w:val="000000"/>
                <w:szCs w:val="21"/>
              </w:rPr>
            </w:pPr>
            <w:r>
              <w:rPr>
                <w:rFonts w:hint="eastAsia" w:ascii="Times New Roman" w:hAnsi="Times New Roman" w:eastAsia="黑体"/>
                <w:bCs/>
                <w:color w:val="000000"/>
                <w:szCs w:val="21"/>
              </w:rPr>
              <w:t>挂 帅</w:t>
            </w:r>
          </w:p>
          <w:p>
            <w:pPr>
              <w:spacing w:line="240" w:lineRule="exact"/>
              <w:jc w:val="center"/>
              <w:rPr>
                <w:rFonts w:hint="eastAsia" w:ascii="Times New Roman" w:hAnsi="Times New Roman" w:eastAsia="黑体"/>
                <w:bCs/>
                <w:color w:val="000000"/>
                <w:szCs w:val="21"/>
              </w:rPr>
            </w:pPr>
            <w:r>
              <w:rPr>
                <w:rFonts w:hint="eastAsia" w:ascii="Times New Roman" w:hAnsi="Times New Roman" w:eastAsia="黑体"/>
                <w:bCs/>
                <w:color w:val="000000"/>
                <w:szCs w:val="21"/>
              </w:rPr>
              <w:t>领 导</w:t>
            </w:r>
          </w:p>
        </w:tc>
        <w:tc>
          <w:tcPr>
            <w:tcW w:w="1584" w:type="dxa"/>
            <w:noWrap w:val="0"/>
            <w:vAlign w:val="center"/>
          </w:tcPr>
          <w:p>
            <w:pPr>
              <w:spacing w:line="240" w:lineRule="exact"/>
              <w:jc w:val="center"/>
              <w:rPr>
                <w:rFonts w:hint="eastAsia" w:ascii="Times New Roman" w:hAnsi="Times New Roman" w:eastAsia="黑体"/>
                <w:bCs/>
                <w:color w:val="000000"/>
                <w:szCs w:val="21"/>
              </w:rPr>
            </w:pPr>
            <w:r>
              <w:rPr>
                <w:rFonts w:hint="eastAsia" w:ascii="Times New Roman" w:hAnsi="Times New Roman" w:eastAsia="黑体"/>
                <w:bCs/>
                <w:color w:val="000000"/>
                <w:szCs w:val="21"/>
              </w:rPr>
              <w:t>牵头单位</w:t>
            </w:r>
          </w:p>
        </w:tc>
        <w:tc>
          <w:tcPr>
            <w:tcW w:w="6576" w:type="dxa"/>
            <w:noWrap w:val="0"/>
            <w:vAlign w:val="center"/>
          </w:tcPr>
          <w:p>
            <w:pPr>
              <w:spacing w:line="240" w:lineRule="exact"/>
              <w:jc w:val="center"/>
              <w:rPr>
                <w:rFonts w:hint="eastAsia" w:ascii="Times New Roman" w:hAnsi="Times New Roman" w:eastAsia="黑体"/>
                <w:bCs/>
                <w:color w:val="000000"/>
                <w:szCs w:val="21"/>
              </w:rPr>
            </w:pPr>
            <w:r>
              <w:rPr>
                <w:rFonts w:hint="eastAsia" w:ascii="Times New Roman" w:hAnsi="Times New Roman" w:eastAsia="黑体"/>
                <w:bCs/>
                <w:color w:val="000000"/>
                <w:szCs w:val="21"/>
              </w:rPr>
              <w:t>办理进度情况和效果</w:t>
            </w:r>
          </w:p>
        </w:tc>
        <w:tc>
          <w:tcPr>
            <w:tcW w:w="949" w:type="dxa"/>
            <w:noWrap w:val="0"/>
            <w:vAlign w:val="center"/>
          </w:tcPr>
          <w:p>
            <w:pPr>
              <w:spacing w:line="240" w:lineRule="exact"/>
              <w:jc w:val="center"/>
              <w:rPr>
                <w:rFonts w:hint="eastAsia" w:ascii="Times New Roman" w:hAnsi="Times New Roman" w:eastAsia="黑体"/>
                <w:bCs/>
                <w:color w:val="000000"/>
                <w:szCs w:val="21"/>
              </w:rPr>
            </w:pPr>
            <w:r>
              <w:rPr>
                <w:rFonts w:hint="eastAsia" w:ascii="Times New Roman" w:hAnsi="Times New Roman" w:eastAsia="黑体"/>
                <w:bCs/>
                <w:color w:val="000000"/>
                <w:szCs w:val="21"/>
              </w:rPr>
              <w:t>群众是否满意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湖北英创汇智精工有限公司面临着招工难的问题，急需60名技术工人。</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帮企纾困</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郑光文</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县人社局</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安排县人社局迅速与英创汇智对接，理清企业用工需求；2、组织开展“春风行动”英创汇智公司送岗服务专项行动，现场招聘一批技术工人解决英创汇智用工难的问题；3、陆续开展系列“春风行动“，通过双向选择，全力为用工企业与求职人员牵线搭桥，建立健全企业用工常态化服务机制，及时提供全方位的就业服务； 4、组织带领英创汇智等优秀企业赴黄冈师范学院、湖北工业大学、武汉纺织大学、云南大学、昆明理工大学等高校进行现场招聘，达成就业意向200余人。</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满意（已完成）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2</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金家铺镇黄林冲村细石岭水库溢洪道杂草丛生，上方土块有垮塌风险，水库溢洪泄洪有安全隐患。</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防汛备汛</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郑光文</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金家铺镇</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金家铺镇第一时间对该水库溢洪道进行整险除险，利用机械清除溢洪道上方土块，同时清除溢洪道周边杂草，确保溢洪道畅通，能正常泄洪；2、金家铺镇、县水利湖泊局举一反三，对周边水库防汛备汛、防汛物料储备等情况进行了全面摸底排查，确保水库安全度汛；3、5月15日县委书记郑光文带头在西河开展巡河巡库，同时组织县乡村三级河库长开展巡河巡库行动，对水库、河堤、大塘等加强隐患排查、工程抢修、物资保障，做好防汛前的各项准备工作。</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满意（已完成）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3</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城北社区老农机小区建成年代较早，社区服务设施不健全，居民改造意愿强烈。</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民生实事</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王海霞</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县住建局</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目前该小区拆违治乱工作已完成。通过发放宣传单、悬挂标语、召开居民代表会等多种形式，提高了居民群众的认识，获得了居民理解和支持，居民群众纷纷自发参与改造治理。</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4</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老城区教育资源总量不足，大班额比例高，在接送时段道路时常拥堵，存在安全隐患。</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民生实事</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王海霞</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县教育局</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关于英山《城区公办幼儿园、义务教育学校布局调整方案》已经县政府常务会审议通过，前期工作正逐步推进。</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5</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乌云山村茶叶公园作为3A级景区，游客量大，但库边环境还存在脏乱差的现象。</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基层建设</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张春梅</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红山镇</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入户开展建设和美乡村宣传发动工作，倡议居民自觉爱护村庄居住环境，建立长效机制，组织志愿者定期对水库周边环境进行清扫；已落实移民项目资金，已完成水上茶楼东边塆落整治的地段设计工作，将于6月份进行开工整治。</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6</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杨柳湾镇烂柴河村六组、七组道路黑化不完整，村民出行不便。</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基层建设</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程水清</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县纪委监委机关</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杨柳湾镇及烂柴河村已完成前期测量工作，主动与县交运局进行道路黑化工作对接，并列入县交运局道路黑化相关工作计划。截至目前，目前已完成黑化道路446米，还剩下300余米，预计6月底前完成烂柴河村六组、七组道路黑化工作。</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7</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文旅行业受</w:t>
            </w:r>
            <w:r>
              <w:rPr>
                <w:rFonts w:hint="default" w:ascii="仿宋_GB2312" w:hAnsi="仿宋_GB2312" w:eastAsia="仿宋_GB2312" w:cs="仿宋_GB2312"/>
                <w:color w:val="000000"/>
                <w:spacing w:val="-6"/>
                <w:kern w:val="0"/>
                <w:sz w:val="21"/>
                <w:szCs w:val="21"/>
                <w:lang w:val="en-US" w:eastAsia="zh-CN" w:bidi="ar"/>
              </w:rPr>
              <w:t>疫情的影响</w:t>
            </w:r>
            <w:r>
              <w:rPr>
                <w:rFonts w:hint="eastAsia" w:ascii="仿宋_GB2312" w:hAnsi="仿宋_GB2312" w:eastAsia="仿宋_GB2312" w:cs="仿宋_GB2312"/>
                <w:color w:val="000000"/>
                <w:spacing w:val="-6"/>
                <w:kern w:val="0"/>
                <w:sz w:val="21"/>
                <w:szCs w:val="21"/>
                <w:lang w:val="en-US" w:eastAsia="zh-CN" w:bidi="ar"/>
              </w:rPr>
              <w:t>较大，疫情放开后，旅游客流量增幅不够大。</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文化旅游</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童  壁</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县文化和旅游局</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通过举办</w:t>
            </w:r>
            <w:r>
              <w:rPr>
                <w:rFonts w:hint="eastAsia" w:ascii="仿宋_GB2312" w:hAnsi="仿宋_GB2312" w:eastAsia="仿宋_GB2312" w:cs="仿宋_GB2312"/>
                <w:color w:val="000000"/>
                <w:spacing w:val="-6"/>
                <w:kern w:val="0"/>
                <w:sz w:val="21"/>
                <w:szCs w:val="21"/>
                <w:lang w:val="zh-CN" w:eastAsia="zh-CN" w:bidi="ar"/>
              </w:rPr>
              <w:t>第三十届湖北·英山茶文化旅游节活动，</w:t>
            </w:r>
            <w:r>
              <w:rPr>
                <w:rFonts w:hint="eastAsia" w:ascii="仿宋_GB2312" w:hAnsi="仿宋_GB2312" w:eastAsia="仿宋_GB2312" w:cs="仿宋_GB2312"/>
                <w:color w:val="000000"/>
                <w:spacing w:val="-6"/>
                <w:kern w:val="0"/>
                <w:sz w:val="21"/>
                <w:szCs w:val="21"/>
                <w:lang w:val="en-US" w:eastAsia="zh-CN" w:bidi="ar"/>
              </w:rPr>
              <w:t>先后相继举行了“毕昇福地·英山‘游’礼”文创大赛及文创产品发布、“英山云雾茶杯”直播带货大赛、茶王争霸赛暨第三届云雾茶手工制作技能大赛、欢迎晚宴、千年之约英山会、开幕式暨毕昇纪念园开园仪式、魅力英山摄影展、东坡庙会—2023英山云雾茶季·茶乡春集、雕版印刷及线装书展览、黄冈市古籍保护成果展、茶商大会、黄梅戏《活字毕昇》公演、精品旅游线路推介等13场专题活动，邀请接待各级领导、嘉宾600余人，本届节会在国家级主流媒体发稿21篇条，省级49篇条（头版头条2个），市级56篇条，县级138篇条，在湖北日报刊发整版报道1个、农村新报刊发专版报道2个、黄冈日报刊发专版报道2个（头版头条1个）、县融媒体中心短视频“10万＋”2个，为扩大客源、稳定市场、引客入英创造了有利条件。</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满意（已完成）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8</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我县群众文化生活品牌不够，群众文化生活不够丰富。</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民生实事</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童  壁</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县委宣传部</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已印发《关于印发2023年群众文化系列活动方案的通知》（英宣发〔2023〕5号）文件，组织召开推进会2次，5月23日已成功举办茶诗词朗诵暨书画大赛活动，全县200余名干部群众踊跃参加。</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9</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瓦寺前村七组蒋家湾水塘年久失修，淤堵严重。</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民生实事</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张全斌</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南河镇</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已形成初步意见，与村“两委”反馈沟通，提交村民代表大会讨论后，研究制定七组蒋家湾水塘清淤改造方案。</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10</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 w:eastAsia="zh-CN" w:bidi="ar"/>
              </w:rPr>
              <w:t>大广茶产业科技示范园建设在即，项目区内涉及移动、电信、联通、楚天网络等公司杆线需要迁移。</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帮企纾困</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周  锋</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县委组织部</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已与移动、电信、联通、楚天网络等公司协调，出台杆线迁移方案，降低报价。同时与相关单位协调重点建设工程的项目资金支持，当前各运营商杆线已全部迁改完毕。</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满意（已完成）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11</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湖北正荣树脂有限公司在农产品收购开票时因操作不当将收购发票身份证号码录入错误，导致税务系统出现风险提醒。</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帮企纾困</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周  锋</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县委组织部</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与税务部门进行协调沟通，了解事情原由、相关政策及解决办法,并向企业宣传相关政策，协助其开展整改工作。现经企业提供相关情况说明及佐证资料，已消除风险提醒。</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满意（已完成）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12</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 w:eastAsia="zh-CN" w:bidi="ar"/>
              </w:rPr>
              <w:t>英山县草盘地镇槐树坪村部分路段存在无路灯、路灯损坏等问题，影响村民夜间出行；部分通组公路未硬化，村民出行条件差。</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民生实事</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贺志东</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县人武部</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截止目前，维修、安装太阳能路灯已完成，共计安装、维修太阳能路灯33盏；已完成4.5米宽1.16公里水泥路的修筑，有效改善村民出行条件，剩余未完成的通组公路正在加紧推进修建。</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13</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金家铺镇茶园村桂花湾水库内渔船停放，汛期不利于及时泄洪，影响防汛安全。</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防汛备汛</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黄军文</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县委办公室</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 w:eastAsia="zh-CN" w:bidi="ar"/>
              </w:rPr>
            </w:pPr>
            <w:r>
              <w:rPr>
                <w:rFonts w:hint="eastAsia" w:ascii="仿宋_GB2312" w:hAnsi="仿宋_GB2312" w:eastAsia="仿宋_GB2312" w:cs="仿宋_GB2312"/>
                <w:color w:val="000000"/>
                <w:spacing w:val="-6"/>
                <w:kern w:val="0"/>
                <w:sz w:val="21"/>
                <w:szCs w:val="21"/>
                <w:lang w:val="en" w:eastAsia="zh-CN" w:bidi="ar"/>
              </w:rPr>
              <w:t>通过耐心与渔民做工作，渔民纷纷表示支持防汛工作，主动将渔船撤离上岸。截至目前，金家铺镇茶园村桂花湾水库内所有渔船已上岸完毕，有效保证了汛期内水库行洪安全。</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满意（已完成）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14</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 w:eastAsia="zh-CN" w:bidi="ar"/>
              </w:rPr>
              <w:t>承庆鞋业希望享受台资企业相关扶持政策，不了解手续办理材料和程序。</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帮企纾困</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黄军文</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县委统战部</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 w:eastAsia="zh-CN" w:bidi="ar"/>
              </w:rPr>
              <w:t>已指导承庆鞋业完成涉台经济专项资金申请，成功申请扶持资金20万元。目前，专项资金已到县财政局账户，预计6月份拨付到企业，企业满意度高。</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15</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 w:eastAsia="zh-CN" w:bidi="ar"/>
              </w:rPr>
            </w:pPr>
            <w:r>
              <w:rPr>
                <w:rFonts w:hint="eastAsia" w:ascii="仿宋_GB2312" w:hAnsi="仿宋_GB2312" w:eastAsia="仿宋_GB2312" w:cs="仿宋_GB2312"/>
                <w:color w:val="000000"/>
                <w:spacing w:val="-6"/>
                <w:kern w:val="0"/>
                <w:sz w:val="21"/>
                <w:szCs w:val="21"/>
                <w:lang w:val="en-US" w:eastAsia="zh-CN" w:bidi="ar"/>
              </w:rPr>
              <w:t>方家咀乡退役军人服务站因硬件设施不达标，难以满足服务退役军人需求。</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基层建设</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陈德峰</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县退役军人事务局</w:t>
            </w:r>
          </w:p>
        </w:tc>
        <w:tc>
          <w:tcPr>
            <w:tcW w:w="6576"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 w:eastAsia="zh-CN" w:bidi="ar"/>
              </w:rPr>
            </w:pPr>
            <w:r>
              <w:rPr>
                <w:rFonts w:hint="eastAsia" w:ascii="仿宋_GB2312" w:hAnsi="仿宋_GB2312" w:eastAsia="仿宋_GB2312" w:cs="仿宋_GB2312"/>
                <w:color w:val="000000"/>
                <w:spacing w:val="-6"/>
                <w:kern w:val="0"/>
                <w:sz w:val="21"/>
                <w:szCs w:val="21"/>
                <w:lang w:val="en-US" w:eastAsia="zh-CN" w:bidi="ar"/>
              </w:rPr>
              <w:t>目前，正在组织县退役军人事务局、方家咀乡政府，共同开展项目实施前的调研、评估，谋划项目的设计方案。</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56" w:type="dxa"/>
            <w:noWrap w:val="0"/>
            <w:vAlign w:val="center"/>
          </w:tcPr>
          <w:p>
            <w:pPr>
              <w:widowControl/>
              <w:spacing w:line="280" w:lineRule="exact"/>
              <w:jc w:val="center"/>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16</w:t>
            </w:r>
          </w:p>
        </w:tc>
        <w:tc>
          <w:tcPr>
            <w:tcW w:w="2618" w:type="dxa"/>
            <w:noWrap w:val="0"/>
            <w:vAlign w:val="center"/>
          </w:tcPr>
          <w:p>
            <w:pPr>
              <w:widowControl/>
              <w:spacing w:line="280" w:lineRule="exact"/>
              <w:jc w:val="left"/>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 w:eastAsia="zh-CN" w:bidi="ar"/>
              </w:rPr>
              <w:t>红山镇乌云山村博爱食堂不能高质量满足五保老人、失能老人和不会做饭老人生活需求，需要进行改造升级。</w:t>
            </w:r>
          </w:p>
        </w:tc>
        <w:tc>
          <w:tcPr>
            <w:tcW w:w="1216"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民生实事</w:t>
            </w:r>
          </w:p>
        </w:tc>
        <w:tc>
          <w:tcPr>
            <w:tcW w:w="861"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刘德锋</w:t>
            </w:r>
          </w:p>
        </w:tc>
        <w:tc>
          <w:tcPr>
            <w:tcW w:w="1584"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县红十字会</w:t>
            </w:r>
          </w:p>
        </w:tc>
        <w:tc>
          <w:tcPr>
            <w:tcW w:w="6576" w:type="dxa"/>
            <w:noWrap w:val="0"/>
            <w:vAlign w:val="center"/>
          </w:tcPr>
          <w:p>
            <w:pPr>
              <w:widowControl/>
              <w:spacing w:line="280" w:lineRule="exact"/>
              <w:jc w:val="left"/>
              <w:textAlignment w:val="center"/>
              <w:rPr>
                <w:rFonts w:hint="default"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 w:eastAsia="zh-CN" w:bidi="ar"/>
              </w:rPr>
              <w:t>部分项目资金已争取到位。目前，县市场管理局已拿出食堂规划设计方案，投资</w:t>
            </w:r>
            <w:r>
              <w:rPr>
                <w:rFonts w:hint="eastAsia" w:ascii="仿宋_GB2312" w:hAnsi="仿宋_GB2312" w:eastAsia="仿宋_GB2312" w:cs="仿宋_GB2312"/>
                <w:color w:val="000000"/>
                <w:spacing w:val="-6"/>
                <w:kern w:val="0"/>
                <w:sz w:val="21"/>
                <w:szCs w:val="21"/>
                <w:lang w:val="en-US" w:eastAsia="zh-CN" w:bidi="ar"/>
              </w:rPr>
              <w:t>10万余元，正在进行升级改造，将于6月初完工。其他如健身小屋、时间银行等配套设施也在同步完善。</w:t>
            </w:r>
          </w:p>
        </w:tc>
        <w:tc>
          <w:tcPr>
            <w:tcW w:w="949" w:type="dxa"/>
            <w:noWrap w:val="0"/>
            <w:vAlign w:val="center"/>
          </w:tcPr>
          <w:p>
            <w:pPr>
              <w:widowControl/>
              <w:spacing w:line="280" w:lineRule="exact"/>
              <w:jc w:val="center"/>
              <w:textAlignment w:val="center"/>
              <w:rPr>
                <w:rFonts w:hint="eastAsia" w:ascii="仿宋_GB2312" w:hAnsi="仿宋_GB2312" w:eastAsia="仿宋_GB2312" w:cs="仿宋_GB2312"/>
                <w:color w:val="000000"/>
                <w:spacing w:val="-6"/>
                <w:kern w:val="0"/>
                <w:sz w:val="21"/>
                <w:szCs w:val="21"/>
                <w:lang w:val="en-US" w:eastAsia="zh-CN" w:bidi="ar"/>
              </w:rPr>
            </w:pPr>
            <w:r>
              <w:rPr>
                <w:rFonts w:hint="eastAsia" w:ascii="仿宋_GB2312" w:hAnsi="仿宋_GB2312" w:eastAsia="仿宋_GB2312" w:cs="仿宋_GB2312"/>
                <w:color w:val="000000"/>
                <w:spacing w:val="-6"/>
                <w:kern w:val="0"/>
                <w:sz w:val="21"/>
                <w:szCs w:val="21"/>
                <w:lang w:val="en-US" w:eastAsia="zh-CN" w:bidi="ar"/>
              </w:rPr>
              <w:t>满意</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pacing w:val="-6"/>
          <w:sz w:val="2"/>
          <w:szCs w:val="2"/>
        </w:rPr>
      </w:pPr>
    </w:p>
    <w:p/>
    <w:p/>
    <w:sectPr>
      <w:footerReference r:id="rId3" w:type="default"/>
      <w:pgSz w:w="16840" w:h="11907" w:orient="landscape"/>
      <w:pgMar w:top="1361" w:right="1134" w:bottom="1134" w:left="1134" w:header="851" w:footer="794" w:gutter="0"/>
      <w:pgNumType w:fmt="numberInDash"/>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sz w:val="21"/>
        <w:szCs w:val="21"/>
        <w:lang w:val="zh-CN"/>
      </w:rPr>
      <w:t>-</w:t>
    </w:r>
    <w:r>
      <w:rPr>
        <w:sz w:val="21"/>
        <w:szCs w:val="21"/>
      </w:rPr>
      <w:t xml:space="preserve"> 14 -</w:t>
    </w:r>
    <w:r>
      <w:rPr>
        <w:rFonts w:ascii="Times New Roman" w:hAnsi="Times New Roman"/>
        <w:sz w:val="21"/>
        <w:szCs w:val="21"/>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MTEwYzYwYWNhMWFmNjA0N2ZhYjY2NTQ4MDQ3Y2QifQ=="/>
  </w:docVars>
  <w:rsids>
    <w:rsidRoot w:val="6C7508AA"/>
    <w:rsid w:val="098C4860"/>
    <w:rsid w:val="6C75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3"/>
    <w:next w:val="3"/>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2651</Words>
  <Characters>2700</Characters>
  <Lines>0</Lines>
  <Paragraphs>0</Paragraphs>
  <TotalTime>0</TotalTime>
  <ScaleCrop>false</ScaleCrop>
  <LinksUpToDate>false</LinksUpToDate>
  <CharactersWithSpaces>2731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2023-05-31T02:24:00Z</dcterms:created>
  <dc:creator>Administrator</dc:creator>
  <cp:lastModifiedBy>Administrator</cp:lastModifiedBy>
  <dcterms:modified xsi:type="dcterms:W3CDTF">2023-05-31T03:21:38Z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B7D06C5BF7D947EE861AC357A101D6A9_11</vt:lpwstr>
  </property>
</Properties>
</file>